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6211C"/>
          <w:sz w:val="30"/>
        </w:rPr>
        <w:t>Your Firm Name</w:t>
      </w:r>
    </w:p>
    <w:p>
      <w:pPr>
        <w:jc w:val="center"/>
      </w:pPr>
      <w:r>
        <w:rPr>
          <w:b/>
          <w:sz w:val="24"/>
        </w:rPr>
        <w:t>Foreign direct investment — structuring, model and eligibility</w:t>
      </w:r>
    </w:p>
    <w:p>
      <w:r>
        <w:rPr>
          <w:sz w:val="17"/>
        </w:rPr>
        <w:t>Client: dinesh marasini    |    Fiscal year: 2082-83    |    Prepared on: 19 August 2026</w:t>
      </w:r>
    </w:p>
    <w:p>
      <w:r>
        <w:rPr>
          <w:b/>
          <w:color w:val="A8202E"/>
          <w:sz w:val="17"/>
        </w:rPr>
        <w:t>Rate verification outstanding: fdi.params. These rates are seeded placeholders. Confirm each against the governing Act and the current Finance Act before this working paper is issued or relied upon.</w:t>
      </w:r>
    </w:p>
    <w:p>
      <w:r>
        <w:rPr>
          <w:b/>
        </w:rPr>
        <w:t>Route: Automatic route (online approval) — Department of Industry (DoI)</w:t>
      </w:r>
    </w:p>
    <w:p>
      <w:r>
        <w:t>Sector: Manufacturing — general. Foreign holding 0.00% against a ceiling of 100%.</w:t>
      </w:r>
    </w:p>
    <w:p>
      <w:pPr>
        <w:pStyle w:val="ListBullet"/>
      </w:pPr>
      <w:r>
        <w:t>[WARN] No foreign investor has been entered, so there is no foreign investment to approve.</w:t>
      </w:r>
    </w:p>
    <w:p>
      <w:pPr>
        <w:pStyle w:val="ListBullet"/>
      </w:pPr>
      <w:r>
        <w:t>[WARN] Thresholds and rates have not been marked as verified against the current Act, Regulation and gazette notice. Do that before the file leaves the office.</w:t>
      </w:r>
    </w:p>
    <w:p>
      <w:r>
        <w:rPr>
          <w:b/>
        </w:rPr>
        <w:t>Means of finance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535"/>
          </w:tcPr>
          <w:p>
            <w:r/>
            <w:r>
              <w:rPr>
                <w:b/>
                <w:sz w:val="18"/>
              </w:rPr>
              <w:t>Particulars</w:t>
            </w:r>
          </w:p>
        </w:tc>
        <w:tc>
          <w:tcPr>
            <w:tcW w:type="dxa" w:w="4252"/>
          </w:tcPr>
          <w:p>
            <w:r/>
            <w:r>
              <w:rPr>
                <w:b/>
                <w:sz w:val="18"/>
              </w:rPr>
              <w:t>Amount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Equity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Foreign loan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Local loan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Total sources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Total project cost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Gap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</w:tbl>
    <w:p/>
    <w:p>
      <w:r>
        <w:rPr>
          <w:b/>
        </w:rPr>
        <w:t>Appraisal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535"/>
          </w:tcPr>
          <w:p>
            <w:r/>
            <w:r>
              <w:rPr>
                <w:b/>
                <w:sz w:val="18"/>
              </w:rPr>
              <w:t>Particulars</w:t>
            </w:r>
          </w:p>
        </w:tc>
        <w:tc>
          <w:tcPr>
            <w:tcW w:type="dxa" w:w="4252"/>
          </w:tcPr>
          <w:p>
            <w:r/>
            <w:r>
              <w:rPr>
                <w:b/>
                <w:sz w:val="18"/>
              </w:rPr>
              <w:t>Value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NPV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Project IRR %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-90.00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Equity IRR %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-90.00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Minimum DSCR</w:t>
            </w:r>
          </w:p>
        </w:tc>
        <w:tc>
          <w:tcPr>
            <w:tcW w:type="dxa" w:w="42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Payback (years)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</w:tbl>
    <w:p/>
    <w:p>
      <w:r>
        <w:rPr>
          <w:b/>
        </w:rPr>
        <w:t>Exit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535"/>
          </w:tcPr>
          <w:p>
            <w:r/>
            <w:r>
              <w:rPr>
                <w:b/>
                <w:sz w:val="18"/>
              </w:rPr>
              <w:t>Particulars</w:t>
            </w:r>
          </w:p>
        </w:tc>
        <w:tc>
          <w:tcPr>
            <w:tcW w:type="dxa" w:w="4252"/>
          </w:tcPr>
          <w:p>
            <w:r/>
            <w:r>
              <w:rPr>
                <w:b/>
                <w:sz w:val="18"/>
              </w:rPr>
              <w:t>Value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Exit year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5.00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Equity value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Foreign proceeds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Net proceeds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  <w:tr>
        <w:tc>
          <w:tcPr>
            <w:tcW w:type="dxa" w:w="4535"/>
          </w:tcPr>
          <w:p>
            <w:r/>
            <w:r>
              <w:rPr>
                <w:sz w:val="18"/>
              </w:rPr>
              <w:t>MOIC</w:t>
            </w:r>
          </w:p>
        </w:tc>
        <w:tc>
          <w:tcPr>
            <w:tcW w:type="dxa" w:w="4252"/>
          </w:tcPr>
          <w:p>
            <w:pPr>
              <w:jc w:val="right"/>
            </w:pPr>
            <w:r/>
            <w:r>
              <w:rPr>
                <w:sz w:val="18"/>
              </w:rPr>
              <w:t>–</w:t>
            </w:r>
          </w:p>
        </w:tc>
      </w:tr>
    </w:tbl>
    <w:p/>
    <w:p>
      <w:r>
        <w:rPr>
          <w:b/>
        </w:rPr>
        <w:t>Unresolved errors</w:t>
      </w:r>
    </w:p>
    <w:p>
      <w:pPr>
        <w:pStyle w:val="ListBullet"/>
      </w:pPr>
      <w:r>
        <w:t>Client: The project company has not been named.</w:t>
      </w:r>
    </w:p>
    <w:p>
      <w:pPr>
        <w:pStyle w:val="ListBullet"/>
      </w:pPr>
      <w:r>
        <w:t>Investors: No investor has been added.</w:t>
      </w:r>
    </w:p>
    <w:p>
      <w:pPr>
        <w:pStyle w:val="ListBullet"/>
      </w:pPr>
      <w:r>
        <w:t>Project cost: Cost of project has not been entered.</w:t>
      </w:r>
    </w:p>
    <w:p>
      <w:pPr>
        <w:pStyle w:val="ListBullet"/>
      </w:pPr>
      <w:r>
        <w:t>Projections: Revenue at full capacity has not been entered, so the whole model is zero.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29"/>
        <w:gridCol w:w="4929"/>
      </w:tblGrid>
      <w:tr>
        <w:tc>
          <w:tcPr>
            <w:tcW w:type="dxa" w:w="4929"/>
          </w:tcPr>
          <w:p>
            <w:r>
              <w:rPr>
                <w:b/>
                <w:sz w:val="18"/>
              </w:rPr>
              <w:t>Prepared by</w:t>
            </w:r>
          </w:p>
        </w:tc>
        <w:tc>
          <w:tcPr>
            <w:tcW w:type="dxa" w:w="4929"/>
          </w:tcPr>
          <w:p>
            <w:r>
              <w:rPr>
                <w:b/>
                <w:sz w:val="18"/>
              </w:rPr>
              <w:t>Reviewed by</w:t>
            </w:r>
          </w:p>
        </w:tc>
      </w:tr>
      <w:tr>
        <w:tc>
          <w:tcPr>
            <w:tcW w:type="dxa" w:w="4929"/>
          </w:tcPr>
          <w:p>
            <w:r>
              <w:br/>
              <w:br/>
              <w:t>Name:</w:t>
              <w:br/>
              <w:t>Date:</w:t>
            </w:r>
          </w:p>
        </w:tc>
        <w:tc>
          <w:tcPr>
            <w:tcW w:type="dxa" w:w="4929"/>
          </w:tcPr>
          <w:p>
            <w:r>
              <w:br/>
              <w:br/>
              <w:t>Name:</w:t>
              <w:br/>
              <w:t>Date:</w:t>
            </w:r>
          </w:p>
        </w:tc>
      </w:tr>
    </w:tbl>
    <w:sectPr w:rsidR="00FC693F" w:rsidRPr="0006063C" w:rsidSect="00034616">
      <w:pgSz w:w="12240" w:h="15840"/>
      <w:pgMar w:top="1247" w:right="1134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