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6211C"/>
          <w:sz w:val="30"/>
        </w:rPr>
        <w:t>Your Firm Name</w:t>
      </w:r>
    </w:p>
    <w:p>
      <w:pPr>
        <w:jc w:val="center"/>
      </w:pPr>
      <w:r>
        <w:rPr>
          <w:b/>
          <w:sz w:val="24"/>
        </w:rPr>
        <w:t>Joint Venture and Shareholders Agreement</w:t>
      </w:r>
    </w:p>
    <w:p>
      <w:r>
        <w:rPr>
          <w:sz w:val="17"/>
        </w:rPr>
        <w:t>Client: dinesh marasini    |    Fiscal year: 2082-83    |    Prepared on: 19 August 2026</w:t>
      </w:r>
    </w:p>
    <w:p>
      <w:r>
        <w:rPr>
          <w:b/>
          <w:color w:val="A8202E"/>
          <w:sz w:val="17"/>
        </w:rPr>
        <w:t>Rate verification outstanding: fdi.params. These rates are seeded placeholders. Confirm each against the governing Act and the current Finance Act before this working paper is issued or relied upon.</w:t>
      </w:r>
    </w:p>
    <w:p>
      <w:r>
        <w:t>THIS JOINT VENTURE AND SHAREHOLDERS AGREEMENT (this “</w:t>
      </w:r>
      <w:r>
        <w:rPr>
          <w:b/>
        </w:rPr>
        <w:t>Agreement</w:t>
      </w:r>
      <w:r>
        <w:t>”) is made at Kathmandu, Nepal on ____________ (the “</w:t>
      </w:r>
      <w:r>
        <w:rPr>
          <w:b/>
        </w:rPr>
        <w:t>Effective Date</w:t>
      </w:r>
      <w:r>
        <w:t>”)</w:t>
      </w:r>
    </w:p>
    <w:p>
      <w:pPr>
        <w:spacing w:before="200"/>
      </w:pPr>
      <w:r>
        <w:rPr>
          <w:b/>
          <w:sz w:val="24"/>
        </w:rPr>
        <w:t>BETWEEN</w:t>
      </w:r>
    </w:p>
    <w:p>
      <w:r>
        <w:t>The above are referred to individually as a “</w:t>
      </w:r>
      <w:r>
        <w:rPr>
          <w:b/>
        </w:rPr>
        <w:t>Party</w:t>
      </w:r>
      <w:r>
        <w:t>” and collectively as the “</w:t>
      </w:r>
      <w:r>
        <w:rPr>
          <w:b/>
        </w:rPr>
        <w:t>Parties</w:t>
      </w:r>
      <w:r>
        <w:t>”.</w:t>
      </w:r>
    </w:p>
    <w:p>
      <w:pPr>
        <w:spacing w:before="200"/>
      </w:pPr>
      <w:r>
        <w:rPr>
          <w:b/>
          <w:sz w:val="24"/>
        </w:rPr>
        <w:t>RECITALS</w:t>
      </w:r>
    </w:p>
    <w:p>
      <w:r>
        <w:t>A. The Parties wish to incorporate a private limited company in Nepal under the name ____________ (the “</w:t>
      </w:r>
      <w:r>
        <w:rPr>
          <w:b/>
        </w:rPr>
        <w:t>Company</w:t>
      </w:r>
      <w:r>
        <w:t>”) for the purpose of carrying on the business described in Clause 3.</w:t>
      </w:r>
    </w:p>
    <w:p>
      <w:r>
        <w:t>B. The Parties propose to subscribe to the share capital of the Company.</w:t>
      </w:r>
    </w:p>
    <w:p>
      <w:r>
        <w:t>C. The Parties wish to record the terms on which they will subscribe for shares in the Company, fund it, govern it, and deal with their shares.</w:t>
      </w:r>
    </w:p>
    <w:p>
      <w:r>
        <w:t>NOW THEREFORE the Parties agree as follows:</w:t>
      </w:r>
    </w:p>
    <w:p>
      <w:pPr>
        <w:spacing w:before="200"/>
      </w:pPr>
      <w:r>
        <w:rPr>
          <w:b/>
          <w:sz w:val="24"/>
        </w:rPr>
        <w:t>1. DEFINITIONS AND INTERPRETATION</w:t>
      </w:r>
    </w:p>
    <w:p>
      <w:r>
        <w:t>1.1 In this Agreement, unless the context requires otherwise: “</w:t>
      </w:r>
      <w:r>
        <w:rPr>
          <w:b/>
        </w:rPr>
        <w:t>Act</w:t>
      </w:r>
      <w:r>
        <w:t>” means the Companies Act, 2063; “</w:t>
      </w:r>
      <w:r>
        <w:rPr>
          <w:b/>
        </w:rPr>
        <w:t>Applicable Law</w:t>
      </w:r>
      <w:r>
        <w:t>” means the laws of Nepal in force from time to time, including the Foreign Investment and Technology Transfer Act, 2075, the Industrial Enterprises Act, the Income Tax Act, 2058 and the directives of Nepal Rastra Bank; “</w:t>
      </w:r>
      <w:r>
        <w:rPr>
          <w:b/>
        </w:rPr>
        <w:t>Approval</w:t>
      </w:r>
      <w:r>
        <w:t>” means the foreign investment approval issued by the competent authority; “</w:t>
      </w:r>
      <w:r>
        <w:rPr>
          <w:b/>
        </w:rPr>
        <w:t>Board</w:t>
      </w:r>
      <w:r>
        <w:t>” means the board of directors of the Company; “</w:t>
      </w:r>
      <w:r>
        <w:rPr>
          <w:b/>
        </w:rPr>
        <w:t>Business</w:t>
      </w:r>
      <w:r>
        <w:t>” has the meaning given in Clause 3; “</w:t>
      </w:r>
      <w:r>
        <w:rPr>
          <w:b/>
        </w:rPr>
        <w:t>Shares</w:t>
      </w:r>
      <w:r>
        <w:t>” means the ordinary shares of the Company of a nominal value of NPR 100 each.</w:t>
      </w:r>
    </w:p>
    <w:p>
      <w:r>
        <w:t>1.2 Headings are for convenience only. References to a Clause are to a clause of this Agreement. Words importing the singular include the plural and vice versa.</w:t>
      </w:r>
    </w:p>
    <w:p>
      <w:pPr>
        <w:spacing w:before="200"/>
      </w:pPr>
      <w:r>
        <w:rPr>
          <w:b/>
          <w:sz w:val="24"/>
        </w:rPr>
        <w:t>2. CONDITIONS PRECEDENT</w:t>
      </w:r>
    </w:p>
    <w:p>
      <w:r>
        <w:t>2.1 The obligations of the Parties to subscribe for Shares are conditional upon: (a) the foreign investment approval of the competent authority being obtained on terms acceptable to the Parties; (b) the approval or registration of the investment with Nepal Rastra Bank; (c) the incorporation of the Company and the adoption of articles of association consistent with this Agreement; (d) each Party having completed the due diligence it considers necessary; and (e) any sector licence required for the Business having been obtained or being reasonably capable of being obtained.</w:t>
      </w:r>
    </w:p>
    <w:p>
      <w:r>
        <w:t>2.2 If the conditions in Clause 2.1 are not satisfied within twelve (12) months of the Effective Date, any Party may terminate this Agreement by notice, and no Party shall have any claim against another save in respect of an antecedent breach.</w:t>
      </w:r>
    </w:p>
    <w:p>
      <w:pPr>
        <w:spacing w:before="200"/>
      </w:pPr>
      <w:r>
        <w:rPr>
          <w:b/>
          <w:sz w:val="24"/>
        </w:rPr>
        <w:t>3. BUSINESS OF THE COMPANY</w:t>
      </w:r>
    </w:p>
    <w:p>
      <w:r>
        <w:t>3.1 The Company shall carry on the business of ____________, at ____________ (the “</w:t>
      </w:r>
      <w:r>
        <w:rPr>
          <w:b/>
        </w:rPr>
        <w:t>Business</w:t>
      </w:r>
      <w:r>
        <w:t>”).</w:t>
      </w:r>
    </w:p>
    <w:p>
      <w:r>
        <w:t>3.2 The Company shall not carry on any business outside the Business without the prior written consent of each Party, and shall not undertake any activity which is restricted for foreign investment under Applicable Law.</w:t>
      </w:r>
    </w:p>
    <w:p>
      <w:pPr>
        <w:spacing w:before="200"/>
      </w:pPr>
      <w:r>
        <w:rPr>
          <w:b/>
          <w:sz w:val="24"/>
        </w:rPr>
        <w:t>4. SHARE CAPITAL AND SUBSCRIPTION</w:t>
      </w:r>
    </w:p>
    <w:p>
      <w:r>
        <w:t>4.1 The authorised share capital of the Company shall be NPR 0 divided into 0 Shares of NPR 100 each.</w:t>
      </w:r>
    </w:p>
    <w:p>
      <w:r>
        <w:t>4.2 The Parties shall subscribe for Shares as follows:</w:t>
      </w:r>
    </w:p>
    <w:tbl>
      <w:tblPr>
        <w:tblStyle w:val="TableGrid"/>
        <w:tblW w:type="auto" w:w="0"/>
        <w:jc w:val="center"/>
        <w:tblLook w:firstColumn="1" w:firstRow="1" w:lastColumn="0" w:lastRow="0" w:noHBand="0" w:noVBand="1" w:val="04A0"/>
      </w:tblPr>
      <w:tblGrid>
        <w:gridCol w:w="1972"/>
        <w:gridCol w:w="1972"/>
        <w:gridCol w:w="1972"/>
        <w:gridCol w:w="1972"/>
        <w:gridCol w:w="1972"/>
      </w:tblGrid>
      <w:tr>
        <w:tc>
          <w:tcPr>
            <w:tcW w:type="dxa" w:w="2551"/>
          </w:tcPr>
          <w:p>
            <w:r/>
            <w:r>
              <w:rPr>
                <w:b/>
                <w:sz w:val="18"/>
              </w:rPr>
              <w:t>Party</w:t>
            </w:r>
          </w:p>
        </w:tc>
        <w:tc>
          <w:tcPr>
            <w:tcW w:type="dxa" w:w="1814"/>
          </w:tcPr>
          <w:p>
            <w:r/>
            <w:r>
              <w:rPr>
                <w:b/>
                <w:sz w:val="18"/>
              </w:rPr>
              <w:t>Amount (NPR)</w:t>
            </w:r>
          </w:p>
        </w:tc>
        <w:tc>
          <w:tcPr>
            <w:tcW w:type="dxa" w:w="1417"/>
          </w:tcPr>
          <w:p>
            <w:r/>
            <w:r>
              <w:rPr>
                <w:b/>
                <w:sz w:val="18"/>
              </w:rPr>
              <w:t>Shares</w:t>
            </w:r>
          </w:p>
        </w:tc>
        <w:tc>
          <w:tcPr>
            <w:tcW w:type="dxa" w:w="1417"/>
          </w:tcPr>
          <w:p>
            <w:r/>
            <w:r>
              <w:rPr>
                <w:b/>
                <w:sz w:val="18"/>
              </w:rPr>
              <w:t>Holding %</w:t>
            </w:r>
          </w:p>
        </w:tc>
        <w:tc>
          <w:tcPr>
            <w:tcW w:type="dxa" w:w="1417"/>
          </w:tcPr>
          <w:p>
            <w:r/>
            <w:r>
              <w:rPr>
                <w:b/>
                <w:sz w:val="18"/>
              </w:rPr>
              <w:t>Board seats</w:t>
            </w:r>
          </w:p>
        </w:tc>
      </w:tr>
      <w:tr>
        <w:tc>
          <w:tcPr>
            <w:tcW w:type="dxa" w:w="2551"/>
          </w:tcPr>
          <w:p>
            <w:r/>
            <w:r>
              <w:rPr>
                <w:b/>
                <w:sz w:val="18"/>
              </w:rPr>
              <w:t>Total</w:t>
            </w:r>
          </w:p>
        </w:tc>
        <w:tc>
          <w:tcPr>
            <w:tcW w:type="dxa" w:w="1814"/>
          </w:tcPr>
          <w:p>
            <w:pPr>
              <w:jc w:val="right"/>
            </w:pPr>
            <w:r/>
            <w:r>
              <w:rPr>
                <w:b/>
                <w:sz w:val="18"/>
              </w:rPr>
              <w:t>–</w:t>
            </w:r>
          </w:p>
        </w:tc>
        <w:tc>
          <w:tcPr>
            <w:tcW w:type="dxa" w:w="1417"/>
          </w:tcPr>
          <w:p>
            <w:pPr>
              <w:jc w:val="right"/>
            </w:pPr>
            <w:r/>
            <w:r>
              <w:rPr>
                <w:b/>
                <w:sz w:val="18"/>
              </w:rPr>
              <w:t>–</w:t>
            </w:r>
          </w:p>
        </w:tc>
        <w:tc>
          <w:tcPr>
            <w:tcW w:type="dxa" w:w="1417"/>
          </w:tcPr>
          <w:p>
            <w:r/>
            <w:r>
              <w:rPr>
                <w:b/>
                <w:sz w:val="18"/>
              </w:rPr>
              <w:t>100.00%</w:t>
            </w:r>
          </w:p>
        </w:tc>
        <w:tc>
          <w:tcPr>
            <w:tcW w:type="dxa" w:w="1417"/>
          </w:tcPr>
          <w:p>
            <w:pPr>
              <w:jc w:val="right"/>
            </w:pPr>
            <w:r/>
            <w:r>
              <w:rPr>
                <w:b/>
                <w:sz w:val="18"/>
              </w:rPr>
              <w:t>–</w:t>
            </w:r>
          </w:p>
        </w:tc>
      </w:tr>
    </w:tbl>
    <w:p/>
    <w:p>
      <w:r>
        <w:t>4.3 Each Party shall remit its subscription in full within thirty (30) days of the last of the conditions in Clause 2.1 being satisfied. Foreign subscription shall be remitted in convertible foreign currency through the banking channel from the account of the subscribing Party, and shall be recorded with Nepal Rastra Bank.</w:t>
      </w:r>
    </w:p>
    <w:p>
      <w:r>
        <w:t>4.4 The Company shall issue share certificates and enter each Party in the register of shareholders promptly after allotment, and shall make every filing required with the Office of the Company Registrar and the Department of Industry.</w:t>
      </w:r>
    </w:p>
    <w:p>
      <w:r>
        <w:t>4.5 No Party shall be obliged to provide further capital. If further capital is required and agreed, it shall first be offered to the Parties in proportion to their holdings; a Party which does not take up its entitlement shall be diluted, and the price shall be determined in accordance with Clause 11.</w:t>
      </w:r>
    </w:p>
    <w:p>
      <w:pPr>
        <w:spacing w:before="200"/>
      </w:pPr>
      <w:r>
        <w:rPr>
          <w:b/>
          <w:sz w:val="24"/>
        </w:rPr>
        <w:t>5. GOVERNANCE</w:t>
      </w:r>
    </w:p>
    <w:p>
      <w:r>
        <w:t>5.1 The Board shall consist of 5 directors. Each Party shall be entitled to nominate the number of directors set out in Clause 4.2 for so long as it holds not less than the corresponding percentage of the Shares.</w:t>
      </w:r>
    </w:p>
    <w:p>
      <w:r>
        <w:t>5.2 The quorum for a meeting of the Board shall be 3 directors, including at least one director nominated by each Party holding ten per cent (10%) or more of the Shares. If a quorum is not present, the meeting shall be adjourned to the same day in the following week, when those present shall constitute a quorum.</w:t>
      </w:r>
    </w:p>
    <w:p>
      <w:r>
        <w:t>5.3 The chairperson shall be nominated by the Party holding the largest number of Shares. The chairperson shall not have a casting vote.</w:t>
      </w:r>
    </w:p>
    <w:p>
      <w:r>
        <w:t>5.4 The Board shall meet at least four times in each financial year, and not less than once in each quarter. Directors may attend by electronic means.</w:t>
      </w:r>
    </w:p>
    <w:p>
      <w:r>
        <w:t>5.5 Notwithstanding anything else in this Agreement, none of the following shall be done without the affirmative vote or prior written consent of each Party holding not less than ten per cent (10%) of the Shares (the “</w:t>
      </w:r>
      <w:r>
        <w:rPr>
          <w:b/>
        </w:rPr>
        <w:t>Reserved Matters</w:t>
      </w:r>
      <w:r>
        <w:t>”):</w:t>
      </w:r>
    </w:p>
    <w:p>
      <w:pPr>
        <w:pStyle w:val="ListBullet"/>
      </w:pPr>
      <w:r>
        <w:t>any alteration to the memorandum or articles of association, or to the rights attaching to any class of shares</w:t>
      </w:r>
    </w:p>
    <w:p>
      <w:pPr>
        <w:pStyle w:val="ListBullet"/>
      </w:pPr>
      <w:r>
        <w:t>any increase, reduction, reorganisation or buy-back of share capital, or the issue of any instrument convertible into shares</w:t>
      </w:r>
    </w:p>
    <w:p>
      <w:pPr>
        <w:pStyle w:val="ListBullet"/>
      </w:pPr>
      <w:r>
        <w:t>commencing any business outside the Business, or ceasing any material part of the Business</w:t>
      </w:r>
    </w:p>
    <w:p>
      <w:pPr>
        <w:pStyle w:val="ListBullet"/>
      </w:pPr>
      <w:r>
        <w:t>incurring borrowing, or giving any guarantee or security, in excess of the limit approved by the Board from time to time</w:t>
      </w:r>
    </w:p>
    <w:p>
      <w:pPr>
        <w:pStyle w:val="ListBullet"/>
      </w:pPr>
      <w:r>
        <w:t>entering into any contract or arrangement with a Party, a director, or a person related to either</w:t>
      </w:r>
    </w:p>
    <w:p>
      <w:pPr>
        <w:pStyle w:val="ListBullet"/>
      </w:pPr>
      <w:r>
        <w:t>the acquisition or disposal of any asset, undertaking or shareholding of a material value</w:t>
      </w:r>
    </w:p>
    <w:p>
      <w:pPr>
        <w:pStyle w:val="ListBullet"/>
      </w:pPr>
      <w:r>
        <w:t>approving the annual budget and business plan, and any material departure from it</w:t>
      </w:r>
    </w:p>
    <w:p>
      <w:pPr>
        <w:pStyle w:val="ListBullet"/>
      </w:pPr>
      <w:r>
        <w:t>declaring or paying any dividend other than in accordance with Clause 8</w:t>
      </w:r>
    </w:p>
    <w:p>
      <w:pPr>
        <w:pStyle w:val="ListBullet"/>
      </w:pPr>
      <w:r>
        <w:t>the appointment or removal of the auditor, the chief executive or the chief financial officer, and the terms of their engagement</w:t>
      </w:r>
    </w:p>
    <w:p>
      <w:pPr>
        <w:pStyle w:val="ListBullet"/>
      </w:pPr>
      <w:r>
        <w:t>any merger, amalgamation, scheme of arrangement, listing, winding up or petition for insolvency</w:t>
      </w:r>
    </w:p>
    <w:p>
      <w:pPr>
        <w:pStyle w:val="ListBullet"/>
      </w:pPr>
      <w:r>
        <w:t>commencing or settling any litigation or arbitration of material value</w:t>
      </w:r>
    </w:p>
    <w:p>
      <w:pPr>
        <w:pStyle w:val="ListBullet"/>
      </w:pPr>
      <w:r>
        <w:t>any change to the financial year, the accounting policies, or the dividend policy</w:t>
      </w:r>
    </w:p>
    <w:p>
      <w:r>
        <w:t>5.6 The Company shall keep proper books of account, shall be audited annually by a firm of chartered accountants appointed with the consent of each Party, and shall furnish to each Party monthly management accounts within twenty-one (21) days of each month end and audited accounts within three (3) months of each financial year end.</w:t>
      </w:r>
    </w:p>
    <w:p>
      <w:r>
        <w:t>5.7 Each Party and its authorised representatives shall have the right, on reasonable notice, to inspect the books, records and premises of the Company.</w:t>
      </w:r>
    </w:p>
    <w:p>
      <w:pPr>
        <w:spacing w:before="200"/>
      </w:pPr>
      <w:r>
        <w:rPr>
          <w:b/>
          <w:sz w:val="24"/>
        </w:rPr>
        <w:t>6. MANAGEMENT</w:t>
      </w:r>
    </w:p>
    <w:p>
      <w:r>
        <w:t>6.1 The day to day management of the Company shall vest in a chief executive appointed by the Board, who shall report to the Board and shall operate within the annual budget and the delegation of authority approved by the Board.</w:t>
      </w:r>
    </w:p>
    <w:p>
      <w:r>
        <w:t>6.2 The Company shall comply at all times with Applicable Law, including in relation to labour, social security, environment, taxation, foreign exchange and the terms of the Approval.</w:t>
      </w:r>
    </w:p>
    <w:p>
      <w:pPr>
        <w:spacing w:before="200"/>
      </w:pPr>
      <w:r>
        <w:rPr>
          <w:b/>
          <w:sz w:val="24"/>
        </w:rPr>
        <w:t>8. DIVIDEND POLICY AND REPATRIATION</w:t>
      </w:r>
    </w:p>
    <w:p>
      <w:r>
        <w:t>8.1 Subject to Applicable Law, the requirements of any lender, and the working capital and capital expenditure needs of the Company, the Parties intend that the Company shall distribute not less than the agreed percentage of its distributable profit in each financial year in which it has distributable profit.</w:t>
      </w:r>
    </w:p>
    <w:p>
      <w:r>
        <w:t>8.2 Dividend shall be declared only out of distributable profit certified by the auditor, and shall exclude any revaluation surplus or unrealised gain.</w:t>
      </w:r>
    </w:p>
    <w:p>
      <w:r>
        <w:t>8.3 The Company shall, at its own cost, take every step necessary to enable a foreign Party to repatriate its dividend, the proceeds of any sale of Shares and, on winding up, its capital — including maintaining the record of foreign investment with Nepal Rastra Bank, obtaining tax clearance, obtaining the recommendation of the Department of Industry, and making the application to Nepal Rastra Bank promptly.</w:t>
      </w:r>
    </w:p>
    <w:p>
      <w:r>
        <w:t>8.4 All distributions shall be made net of tax deducted at source as required by Applicable Law.</w:t>
      </w:r>
    </w:p>
    <w:p>
      <w:pPr>
        <w:spacing w:before="200"/>
      </w:pPr>
      <w:r>
        <w:rPr>
          <w:b/>
          <w:sz w:val="24"/>
        </w:rPr>
        <w:t>9. TRANSFER OF SHARES</w:t>
      </w:r>
    </w:p>
    <w:p>
      <w:r>
        <w:t>9.1 No Party shall transfer, pledge or otherwise deal with any Share except in accordance with this Clause 9, this Agreement, the articles of association and Applicable Law, and no transfer shall be effective until the approval of the competent authority has been obtained where required.</w:t>
      </w:r>
    </w:p>
    <w:p>
      <w:r>
        <w:t>9.2 No Party shall transfer any Share for a period of 3 years from the Effective Date (the “</w:t>
      </w:r>
      <w:r>
        <w:rPr>
          <w:b/>
        </w:rPr>
        <w:t>Lock-in Period</w:t>
      </w:r>
      <w:r>
        <w:t>”), except a transfer to an affiliate which agrees in writing to be bound by this Agreement.</w:t>
      </w:r>
    </w:p>
    <w:p>
      <w:r>
        <w:t xml:space="preserve">9.3 </w:t>
      </w:r>
      <w:r>
        <w:rPr>
          <w:b/>
        </w:rPr>
        <w:t>Right of first refusal.</w:t>
      </w:r>
      <w:r>
        <w:t xml:space="preserve"> A Party wishing to transfer its Shares (the “</w:t>
      </w:r>
      <w:r>
        <w:rPr>
          <w:b/>
        </w:rPr>
        <w:t>Selling Party</w:t>
      </w:r>
      <w:r>
        <w:t>”) shall give notice to the other Parties stating the number of Shares, the price and the identity of the proposed transferee. The other Parties may, within thirty (30) days, elect to purchase all (but not part) of those Shares at that price, in proportion to their holdings. If they do not, the Selling Party may within ninety (90) days transfer to the proposed transferee at not less than that price and on no more favourable terms.</w:t>
      </w:r>
    </w:p>
    <w:p>
      <w:r>
        <w:t xml:space="preserve">9.4 </w:t>
      </w:r>
      <w:r>
        <w:rPr>
          <w:b/>
        </w:rPr>
        <w:t>Tag-along.</w:t>
      </w:r>
      <w:r>
        <w:t xml:space="preserve"> If a Party proposes to transfer Shares which would result in a change of control, no such transfer shall be made unless the proposed transferee offers to purchase from each other Party, on the same terms, the same proportion of that Party's Shares.</w:t>
      </w:r>
    </w:p>
    <w:p>
      <w:r>
        <w:t xml:space="preserve">9.5 </w:t>
      </w:r>
      <w:r>
        <w:rPr>
          <w:b/>
        </w:rPr>
        <w:t>Drag-along.</w:t>
      </w:r>
      <w:r>
        <w:t xml:space="preserve"> If Parties holding not less than 75% of the Shares accept a bona fide offer from a third party for all of the Shares, those Parties may require the remaining Parties to sell all their Shares to that third party on the same terms, and the remaining Parties shall do so.</w:t>
      </w:r>
    </w:p>
    <w:p>
      <w:r>
        <w:t>9.6 Any transferee shall, as a condition of registration, execute a deed of adherence agreeing to be bound by this Agreement.</w:t>
      </w:r>
    </w:p>
    <w:p>
      <w:pPr>
        <w:spacing w:before="200"/>
      </w:pPr>
      <w:r>
        <w:rPr>
          <w:b/>
          <w:sz w:val="24"/>
        </w:rPr>
        <w:t>10. DEADLOCK</w:t>
      </w:r>
    </w:p>
    <w:p>
      <w:r>
        <w:t>10.1 A deadlock arises if a Reserved Matter is not resolved at two consecutive meetings of the Board or of shareholders. On a deadlock: Escalation to chairpersons, then a swing-vote expert, then a buy-sell mechanism</w:t>
      </w:r>
    </w:p>
    <w:p>
      <w:r>
        <w:t>10.2 If the deadlock is not resolved, either Party may serve a notice offering to sell all of its Shares to the other at a stated price per Share; the recipient shall within thirty (30) days either purchase at that price or sell its own Shares to the offeror at the same price per Share.</w:t>
      </w:r>
    </w:p>
    <w:p>
      <w:pPr>
        <w:spacing w:before="200"/>
      </w:pPr>
      <w:r>
        <w:rPr>
          <w:b/>
          <w:sz w:val="24"/>
        </w:rPr>
        <w:t>11. VALUATION</w:t>
      </w:r>
    </w:p>
    <w:p>
      <w:r>
        <w:t>11.1 Where a price per Share is to be determined under this Agreement and is not agreed, it shall be determined by an independent chartered accountant appointed jointly by the Parties, applying the net asset value, discounted cash flow, earnings multiple and enterprise value to EBITDA methods and weighting them as the valuer considers appropriate, and stating the weighting used. The valuer shall act as an expert and not as an arbitrator, and the determination shall be final and binding save in the case of manifest error.</w:t>
      </w:r>
    </w:p>
    <w:p>
      <w:r>
        <w:t>11.2 The cost of the valuation shall be borne equally by the Parties concerned.</w:t>
      </w:r>
    </w:p>
    <w:p>
      <w:pPr>
        <w:spacing w:before="200"/>
      </w:pPr>
      <w:r>
        <w:rPr>
          <w:b/>
          <w:sz w:val="24"/>
        </w:rPr>
        <w:t>12. EXIT</w:t>
      </w:r>
    </w:p>
    <w:p>
      <w:r>
        <w:t>12.1 The Parties intend to achieve liquidity for the foreign Party by the end of year 7 from the Effective Date, including through an initial public offering of the Company where it is eligible and the Parties agree.</w:t>
      </w:r>
    </w:p>
    <w:p>
      <w:r>
        <w:t xml:space="preserve">12.2 </w:t>
      </w:r>
      <w:r>
        <w:rPr>
          <w:b/>
        </w:rPr>
        <w:t>Put option.</w:t>
      </w:r>
      <w:r>
        <w:t xml:space="preserve"> At any time after year 7, a foreign Party may require the other Parties to purchase all of its Shares at the price determined under Clause 11, subject to Applicable Law and to any approval required for the transfer and for the remittance of the proceeds.</w:t>
      </w:r>
    </w:p>
    <w:p>
      <w:r>
        <w:t xml:space="preserve">12.3 </w:t>
      </w:r>
      <w:r>
        <w:rPr>
          <w:b/>
        </w:rPr>
        <w:t>Call option.</w:t>
      </w:r>
      <w:r>
        <w:t xml:space="preserve"> At any time after year 7, the local Party may require a foreign Party to sell all of its Shares at the price determined under Clause 11, on the same conditions.</w:t>
      </w:r>
    </w:p>
    <w:p>
      <w:r>
        <w:t>12.4 The Parties acknowledge that the transfer of Shares by a foreign Party and the remittance of the proceeds require approval, tax clearance and the record of the investment to be in order, and each Party shall do all things necessary to enable that.</w:t>
      </w:r>
    </w:p>
    <w:p>
      <w:pPr>
        <w:spacing w:before="200"/>
      </w:pPr>
      <w:r>
        <w:rPr>
          <w:b/>
          <w:sz w:val="24"/>
        </w:rPr>
        <w:t>13. NON-COMPETE AND CONFIDENTIALITY</w:t>
      </w:r>
    </w:p>
    <w:p>
      <w:r>
        <w:t>13.1 No Party shall, during the term of this Agreement and for 3 years thereafter, directly or indirectly carry on or be engaged in any business competing with the Business within Nepal, or solicit any customer, supplier or employee of the Company.</w:t>
      </w:r>
    </w:p>
    <w:p>
      <w:r>
        <w:t>13.2 Each Party shall keep confidential all information concerning the Company and the other Parties, and shall not disclose it except to its professional advisers, as required by Applicable Law, or with consent. This obligation survives termination for three (3) years.</w:t>
      </w:r>
    </w:p>
    <w:p>
      <w:pPr>
        <w:spacing w:before="200"/>
      </w:pPr>
      <w:r>
        <w:rPr>
          <w:b/>
          <w:sz w:val="24"/>
        </w:rPr>
        <w:t>14. REPRESENTATIONS, WARRANTIES AND INDEMNITY</w:t>
      </w:r>
    </w:p>
    <w:p>
      <w:r>
        <w:t>14.1 Each Party represents and warrants to each other Party that it has full power and authority to enter into and perform this Agreement, that this Agreement constitutes binding obligations, that it is not insolvent, that the funds it will contribute are from a lawful source and are not the proceeds of any offence, and that it is not subject to any sanction or restriction which would prevent it from participating in the Company.</w:t>
      </w:r>
    </w:p>
    <w:p>
      <w:r>
        <w:t>14.2 Each Party shall indemnify each other Party against all loss arising from a breach of its representations, warranties or obligations under this Agreement.</w:t>
      </w:r>
    </w:p>
    <w:p>
      <w:pPr>
        <w:spacing w:before="200"/>
      </w:pPr>
      <w:r>
        <w:rPr>
          <w:b/>
          <w:sz w:val="24"/>
        </w:rPr>
        <w:t>15. TERM AND TERMINATION</w:t>
      </w:r>
    </w:p>
    <w:p>
      <w:r>
        <w:t>15.1 This Agreement takes effect on the Effective Date and continues until the Company is wound up, or until only one Party holds Shares, or until the Parties agree in writing to terminate it.</w:t>
      </w:r>
    </w:p>
    <w:p>
      <w:r>
        <w:t>15.2 A Party may terminate this Agreement as against a defaulting Party if that Party commits a material breach which is not remedied within sixty (60) days of notice, or becomes insolvent. In that event the non-defaulting Parties may purchase the defaulting Party's Shares at the price determined under Clause 11, less any loss suffered.</w:t>
      </w:r>
    </w:p>
    <w:p>
      <w:r>
        <w:t>15.3 Termination is without prejudice to accrued rights, and Clauses 11, 13, 14, 16 and 17 survive termination.</w:t>
      </w:r>
    </w:p>
    <w:p>
      <w:pPr>
        <w:spacing w:before="200"/>
      </w:pPr>
      <w:r>
        <w:rPr>
          <w:b/>
          <w:sz w:val="24"/>
        </w:rPr>
        <w:t>16. GOVERNING LAW AND DISPUTE RESOLUTION</w:t>
      </w:r>
    </w:p>
    <w:p>
      <w:r>
        <w:t>16.1 This Agreement is governed by and shall be construed in accordance with the laws of Nepal.</w:t>
      </w:r>
    </w:p>
    <w:p>
      <w:r>
        <w:t>16.2 Any dispute arising out of or in connection with this Agreement shall first be referred to the chief executives of the Parties. If it is not resolved within thirty (30) days, it shall be finally settled by arbitration under the rules of Nepal Council of Arbitration (NEPCA), Kathmandu, in English. The award shall be final and binding. Nothing in this Clause prevents a Party from seeking interim relief from a court of competent jurisdiction.</w:t>
      </w:r>
    </w:p>
    <w:p>
      <w:pPr>
        <w:spacing w:before="200"/>
      </w:pPr>
      <w:r>
        <w:rPr>
          <w:b/>
          <w:sz w:val="24"/>
        </w:rPr>
        <w:t>17. GENERAL</w:t>
      </w:r>
    </w:p>
    <w:p>
      <w:r>
        <w:t xml:space="preserve">17.1 </w:t>
      </w:r>
      <w:r>
        <w:rPr>
          <w:b/>
        </w:rPr>
        <w:t>Articles of association.</w:t>
      </w:r>
      <w:r>
        <w:t xml:space="preserve"> The Parties shall procure that the articles of association of the Company are consistent with this Agreement. In the event of a conflict, as between the Parties this Agreement prevails and the Parties shall amend the articles.</w:t>
      </w:r>
    </w:p>
    <w:p>
      <w:r>
        <w:t xml:space="preserve">17.2 </w:t>
      </w:r>
      <w:r>
        <w:rPr>
          <w:b/>
        </w:rPr>
        <w:t>Notices.</w:t>
      </w:r>
      <w:r>
        <w:t xml:space="preserve"> Notices shall be in writing and delivered by hand, by courier or by electronic mail to the addresses set out above or as notified.</w:t>
      </w:r>
    </w:p>
    <w:p>
      <w:r>
        <w:t xml:space="preserve">17.3 </w:t>
      </w:r>
      <w:r>
        <w:rPr>
          <w:b/>
        </w:rPr>
        <w:t>Entire agreement.</w:t>
      </w:r>
      <w:r>
        <w:t xml:space="preserve"> This Agreement, together with the technology transfer agreement and any document referred to in it, constitutes the entire agreement between the Parties on its subject matter and supersedes all prior arrangements.</w:t>
      </w:r>
    </w:p>
    <w:p>
      <w:r>
        <w:t xml:space="preserve">17.4 </w:t>
      </w:r>
      <w:r>
        <w:rPr>
          <w:b/>
        </w:rPr>
        <w:t>Amendment.</w:t>
      </w:r>
      <w:r>
        <w:t xml:space="preserve"> No amendment is effective unless in writing and signed by each Party, and, where required, approved by the competent authority.</w:t>
      </w:r>
    </w:p>
    <w:p>
      <w:r>
        <w:t xml:space="preserve">17.5 </w:t>
      </w:r>
      <w:r>
        <w:rPr>
          <w:b/>
        </w:rPr>
        <w:t>Severability.</w:t>
      </w:r>
      <w:r>
        <w:t xml:space="preserve"> If any provision is held invalid, the remainder continues in effect and the Parties shall replace the invalid provision with one of equivalent commercial effect.</w:t>
      </w:r>
    </w:p>
    <w:p>
      <w:r>
        <w:t xml:space="preserve">17.6 </w:t>
      </w:r>
      <w:r>
        <w:rPr>
          <w:b/>
        </w:rPr>
        <w:t>Language and counterparts.</w:t>
      </w:r>
      <w:r>
        <w:t xml:space="preserve"> This Agreement is executed in the English language in as many counterparts as there are Parties, each of which is an original. Where a translation is required for filing, the English text prevails as between the Parties.</w:t>
      </w:r>
    </w:p>
    <w:p>
      <w:r>
        <w:t xml:space="preserve">17.7 </w:t>
      </w:r>
      <w:r>
        <w:rPr>
          <w:b/>
        </w:rPr>
        <w:t>Costs.</w:t>
      </w:r>
      <w:r>
        <w:t xml:space="preserve"> Each Party bears its own costs. The Company bears the cost of incorporation, approval and registration.</w:t>
      </w:r>
    </w:p>
    <w:p/>
    <w:p>
      <w:r>
        <w:t>IN WITNESS WHEREOF the Parties have executed this Agreement on the date first written above.</w:t>
      </w:r>
    </w:p>
    <w:p/>
    <w:p/>
    <w:p>
      <w:r>
        <w:t>Drafted by Your Firm Name. This draft is prepared for the Parties' consideration and must be reviewed by legal counsel and against the current text of the applicable law before execution.</w:t>
      </w:r>
    </w:p>
    <w:sectPr w:rsidR="00FC693F" w:rsidRPr="0006063C" w:rsidSect="00034616">
      <w:pgSz w:w="12240" w:h="15840"/>
      <w:pgMar w:top="1247" w:right="1134"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